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04</w:t>
      </w:r>
      <w:r>
        <w:rPr>
          <w:rFonts w:ascii="PT Astra Serif" w:hAnsi="PT Astra Serif"/>
          <w:b/>
          <w:sz w:val="26"/>
          <w:szCs w:val="26"/>
          <w:lang w:val="ru-RU"/>
        </w:rPr>
        <w:t>.2024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6"/>
          <w:szCs w:val="26"/>
          <w:lang w:eastAsia="en-US"/>
        </w:rPr>
        <w:t xml:space="preserve">О внесении изменения в 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6"/>
          <w:szCs w:val="26"/>
          <w:lang w:eastAsia="en-US"/>
        </w:rPr>
        <w:t>отдельные нормативные правовые</w:t>
        <w:br/>
        <w:t xml:space="preserve">акты </w:t>
      </w:r>
      <w:r>
        <w:rPr>
          <w:rFonts w:eastAsia="Calibri" w:cs="PT Astra Serif" w:ascii="PT Astra Serif" w:hAnsi="PT Astra Serif"/>
          <w:b/>
          <w:bCs/>
          <w:color w:val="000000" w:themeColor="text1"/>
          <w:spacing w:val="2"/>
          <w:kern w:val="2"/>
          <w:sz w:val="26"/>
          <w:szCs w:val="26"/>
          <w:lang w:eastAsia="en-US"/>
        </w:rPr>
        <w:t>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widowControl/>
        <w:shd w:val="clear" w:fill="FFFFFF"/>
        <w:tabs>
          <w:tab w:val="clear" w:pos="720"/>
          <w:tab w:val="left" w:pos="5550" w:leader="none"/>
        </w:tabs>
        <w:suppressAutoHyphens w:val="true"/>
        <w:overflowPunct w:val="true"/>
        <w:bidi w:val="0"/>
        <w:spacing w:before="0" w:after="0"/>
        <w:ind w:left="-57" w:right="0" w:firstLine="680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0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апреля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6"/>
          <w:szCs w:val="26"/>
          <w:lang w:eastAsia="en-US"/>
        </w:rPr>
        <w:t xml:space="preserve">О внесении изменения в 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6"/>
          <w:szCs w:val="26"/>
          <w:lang w:eastAsia="en-US"/>
        </w:rPr>
        <w:t>отдельные нормативные правовые акты</w:t>
      </w:r>
      <w:r>
        <w:rPr>
          <w:rFonts w:eastAsia="Calibri" w:cs="PT Astra Serif" w:ascii="PT Astra Serif" w:hAnsi="PT Astra Serif"/>
          <w:b w:val="false"/>
          <w:bCs w:val="false"/>
          <w:color w:val="000000" w:themeColor="text1"/>
          <w:spacing w:val="2"/>
          <w:kern w:val="2"/>
          <w:sz w:val="26"/>
          <w:szCs w:val="26"/>
          <w:lang w:eastAsia="en-US"/>
        </w:rPr>
        <w:t xml:space="preserve">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eastAsia="" w:cs="" w:ascii="PT Astra Serif" w:hAnsi="PT Astra Serif" w:cstheme="minorBidi" w:eastAsiaTheme="minorEastAsia"/>
          <w:b w:val="false"/>
          <w:bCs/>
          <w:color w:val="auto"/>
          <w:spacing w:val="4"/>
          <w:sz w:val="26"/>
          <w:szCs w:val="26"/>
          <w:lang w:val="ru-RU" w:eastAsia="zh-CN"/>
        </w:rPr>
        <w:t xml:space="preserve"> областного государственного бюджетного учреждения «Агентство по развитию сельских территорий»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/>
      </w:pP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Проектом предлагается внести изменени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я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 в 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п</w:t>
      </w:r>
      <w:r>
        <w:rPr>
          <w:rFonts w:ascii="PT Astra Serif" w:hAnsi="PT Astra Serif"/>
          <w:sz w:val="26"/>
          <w:szCs w:val="26"/>
        </w:rPr>
        <w:t xml:space="preserve">реамбулы отдельных постановлений Правительства Ульяновской области Правительства Ульяновской области, </w:t>
      </w:r>
      <w:r>
        <w:rPr>
          <w:rFonts w:ascii="PT Astra Serif" w:hAnsi="PT Astra Serif"/>
          <w:sz w:val="26"/>
          <w:szCs w:val="26"/>
        </w:rPr>
        <w:t>в части изменения ссылки на актуальную государственную программу,</w:t>
        <w:br/>
        <w:t>а именно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 </w:t>
      </w:r>
      <w:r>
        <w:rPr>
          <w:rFonts w:ascii="PT Astra Serif" w:hAnsi="PT Astra Serif"/>
          <w:sz w:val="26"/>
          <w:szCs w:val="26"/>
        </w:rPr>
        <w:t>п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остановление Правительства Ульяновской области от </w:t>
      </w:r>
      <w:r>
        <w:rPr>
          <w:rFonts w:eastAsia="Calibri" w:cs="PT Astra Serif" w:ascii="PT Astra Serif" w:hAnsi="PT Astra Serif" w:eastAsiaTheme="minorHAnsi"/>
          <w:color w:val="000000" w:themeColor="text1"/>
          <w:sz w:val="26"/>
          <w:szCs w:val="26"/>
          <w:lang w:eastAsia="en-US"/>
        </w:rPr>
        <w:t>30.11.2023</w:t>
        <w:br/>
        <w:t xml:space="preserve">№ 32/644-П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– государственная программа Ульяновской области). 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Проектом </w:t>
      </w:r>
      <w:r>
        <w:rPr>
          <w:rFonts w:eastAsia="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также 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приводятся 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отдельные нормы 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в соответствие с Правилами предоставления</w:t>
        <w:br/>
        <w:t>и распределения субсидий из федерального бюджетам бюджетам субъектов Российской Федерации на обеспечение комплексного развития сельских территорий, утверждённ</w:t>
      </w:r>
      <w:r>
        <w:rPr>
          <w:rFonts w:eastAsia="Calibri" w:cs="PT Astra Serif" w:ascii="PT Astra Serif" w:hAnsi="PT Astra Serif" w:eastAsiaTheme="minorHAnsi"/>
          <w:b w:val="false"/>
          <w:bCs/>
          <w:color w:val="00000A"/>
          <w:kern w:val="0"/>
          <w:sz w:val="26"/>
          <w:szCs w:val="26"/>
          <w:lang w:val="ru-RU" w:eastAsia="en-US" w:bidi="ar-SA"/>
        </w:rPr>
        <w:t>ыми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(далее – государственная программа РФ), Правила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>ми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области, утверждённы</w:t>
      </w:r>
      <w:r>
        <w:rPr>
          <w:rFonts w:eastAsia="Calibri" w:cs="PT Astra Serif" w:ascii="PT Astra Serif" w:hAnsi="PT Astra Serif" w:eastAsiaTheme="minorHAnsi"/>
          <w:b w:val="false"/>
          <w:bCs/>
          <w:color w:val="00000A"/>
          <w:kern w:val="0"/>
          <w:sz w:val="26"/>
          <w:szCs w:val="26"/>
          <w:lang w:val="ru-RU" w:eastAsia="en-US" w:bidi="ar-SA"/>
        </w:rPr>
        <w:t>ми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 </w:t>
      </w: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>постановлением Правительства Ульяновской области от 05.03.2021 № 52-П «</w:t>
      </w:r>
      <w:r>
        <w:rPr>
          <w:rFonts w:eastAsia="Calibri" w:cs="PT Astra Serif" w:ascii="PT Astra Serif" w:hAnsi="PT Astra Serif" w:eastAsiaTheme="minorHAnsi"/>
          <w:b w:val="false"/>
          <w:bCs/>
          <w:sz w:val="26"/>
          <w:szCs w:val="26"/>
          <w:lang w:eastAsia="en-US"/>
        </w:rPr>
        <w:t xml:space="preserve">Об утверждении Правил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области», </w:t>
      </w:r>
      <w:r>
        <w:rPr>
          <w:rFonts w:ascii="PT Astra Serif" w:hAnsi="PT Astra Serif"/>
          <w:color w:val="000000"/>
          <w:sz w:val="26"/>
          <w:szCs w:val="26"/>
        </w:rPr>
        <w:t xml:space="preserve">с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>утверждённым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 государственной программ</w:t>
      </w:r>
      <w:r>
        <w:rPr>
          <w:rFonts w:eastAsia="Calibri" w:cs="PT Astra Serif" w:ascii="PT Astra Serif" w:hAnsi="PT Astra Serif" w:eastAsiaTheme="minorHAnsi"/>
          <w:color w:val="00000A"/>
          <w:kern w:val="0"/>
          <w:sz w:val="26"/>
          <w:szCs w:val="26"/>
          <w:lang w:val="ru-RU" w:eastAsia="en-US" w:bidi="ar-SA"/>
        </w:rPr>
        <w:t>ой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 РФ и Правилами предоставления и распределения субсидий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 с развитием жилищного строительства на сельских территориях</w:t>
        <w:br/>
        <w:t>и повышением уровня благоустройства домовладений, являющихся приложением</w:t>
        <w:br/>
        <w:t xml:space="preserve">№ 4 к государственной программе Ульяновской области, постановление Правительства Ульяновской области от 04.05.2022 № 217-П «О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 по договору найма жилого помещения». 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Application>LibreOffice/6.4.7.2$Linux_X86_64 LibreOffice_project/40$Build-2</Application>
  <Pages>2</Pages>
  <Words>409</Words>
  <Characters>3378</Characters>
  <CharactersWithSpaces>3830</CharactersWithSpaces>
  <Paragraphs>11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2024-04-01T11:41:00Z</dcterms:created>
  <dc:creator>Кулькова</dc:creator>
  <dc:description/>
  <dc:language>ru-RU</dc:language>
  <cp:lastModifiedBy/>
  <cp:lastPrinted>2024-04-01T11:42:31Z</cp:lastPrinted>
  <dcterms:modified xsi:type="dcterms:W3CDTF">2024-04-03T09:56:57Z</dcterms:modified>
  <cp:revision>85</cp:revision>
  <dc:subject/>
  <dc:title>Постановление Правительства Ульяновской области от 23.05.2019 N 233-П(ред. от 21.06.2023)"О некоторых мерах, направленных на обеспечение реализации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инициативы"(вместе с "Правилами предоставления крестьянским (фермерским) хозяйствам или индивидуальным предпринимателям, а также гражданам грантов в форме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